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93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D7D46CB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DDB5621" w:rsidRDefault="008E39B4" w14:paraId="78D908C9" w14:textId="77777777">
            <w:pPr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  <w:r w:rsidRPr="0DDB5621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DDB5621" w:rsidP="0DDB5621" w:rsidRDefault="0DDB5621" w14:paraId="388C82C4" w14:textId="6D706258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</w:p>
          <w:p w:rsidRPr="004A45C2" w:rsidR="008E39B4" w:rsidP="725FBCA8" w:rsidRDefault="008E39B4" w14:paraId="46561C89" w14:textId="010B60D0">
            <w:pPr>
              <w:pStyle w:val="Normal"/>
              <w:tabs>
                <w:tab w:val="num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DDB5621" w:rsidR="725FBCA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makes different pop and rock genres characteristic and distinct?</w:t>
            </w:r>
          </w:p>
          <w:p w:rsidRPr="004A45C2" w:rsidR="008E39B4" w:rsidP="725FBCA8" w:rsidRDefault="008E39B4" w14:paraId="2ADAEC1B" w14:textId="173F24E7">
            <w:pPr>
              <w:pStyle w:val="Normal"/>
              <w:tabs>
                <w:tab w:val="num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725FBCA8" w:rsidP="0D7D46CB" w:rsidRDefault="725FBCA8" w14:paraId="1B0AD684" w14:textId="65434744">
            <w:pPr>
              <w:pStyle w:val="Normal"/>
              <w:tabs>
                <w:tab w:val="num" w:leader="none" w:pos="720"/>
              </w:tabs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D7D46CB" w:rsidR="725FBCA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Area of study B: Pop and Rock (1960-2000)</w:t>
            </w:r>
          </w:p>
          <w:p w:rsidR="0DDB5621" w:rsidP="0DDB5621" w:rsidRDefault="0DDB5621" w14:paraId="1D4DD0AF" w14:textId="7568BF05">
            <w:pPr>
              <w:pStyle w:val="Normal"/>
              <w:tabs>
                <w:tab w:val="num" w:leader="none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DDB5621" w:rsidP="0DDB5621" w:rsidRDefault="0DDB5621" w14:paraId="34ACCD23" w14:textId="1D325AF8">
            <w:pPr>
              <w:pStyle w:val="Normal"/>
              <w:tabs>
                <w:tab w:val="num" w:leader="none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DDB5621" w:rsidP="0DDB5621" w:rsidRDefault="0DDB5621" w14:paraId="2A105517" w14:textId="67A477C7">
            <w:pPr>
              <w:pStyle w:val="Normal"/>
              <w:tabs>
                <w:tab w:val="num" w:leader="none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A45C2" w:rsidR="008E39B4" w:rsidP="725FBCA8" w:rsidRDefault="008E39B4" w14:paraId="669E2941" w14:textId="10CFEF49">
            <w:pPr>
              <w:pStyle w:val="Normal"/>
              <w:tabs>
                <w:tab w:val="num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A45C2" w:rsidR="008E39B4" w:rsidP="725FBCA8" w:rsidRDefault="008E39B4" w14:paraId="757809B9" w14:textId="72EF6EB7">
            <w:pPr>
              <w:pStyle w:val="Normal"/>
              <w:tabs>
                <w:tab w:val="num" w:pos="720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40DD8824" w:rsidRDefault="008E39B4" w14:paraId="191A053B" w14:textId="77777777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40DD8824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Why this? Why now?</w:t>
            </w:r>
          </w:p>
          <w:p w:rsidRPr="00EE6BDD" w:rsidR="00EE6BDD" w:rsidP="40DD8824" w:rsidRDefault="00EE6BDD" w14:paraId="637495D0" w14:textId="372BE4A6">
            <w:pPr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0D7D46CB" w:rsidR="725FBCA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This area of study builds on your study of the </w:t>
            </w:r>
            <w:r w:rsidRPr="0D7D46CB" w:rsidR="725FBCA8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Conventions of Pop</w:t>
            </w:r>
            <w:r w:rsidRPr="0D7D46CB" w:rsidR="725FBCA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at KS4 </w:t>
            </w:r>
            <w:r w:rsidRPr="0D7D46CB" w:rsidR="725FBCA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and focuses</w:t>
            </w:r>
            <w:r w:rsidRPr="0D7D46CB" w:rsidR="725FBCA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on rock and pop music from a range of specific genres composed between 1960 and 2000. </w:t>
            </w:r>
          </w:p>
          <w:p w:rsidRPr="00EE6BDD" w:rsidR="00EE6BDD" w:rsidP="40DD8824" w:rsidRDefault="00EE6BDD" w14:paraId="2ACD54BA" w14:textId="61032F32">
            <w:pPr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  <w:p w:rsidRPr="00EE6BDD" w:rsidR="00EE6BDD" w:rsidP="40DD8824" w:rsidRDefault="00EE6BDD" w14:paraId="4C75361B" w14:textId="2DA9FA38">
            <w:pPr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Extensive changes occurred in pop music in the 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1960s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and, by the end of the decade, a good number of pop musicians were creating music with artistic rather than commercial intent. Consequently, in the 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1970s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, rock splintered into diverse styles, and in the 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1980s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even more styles evolved, some of which owed their existence to advances made in music technology. Sub-genres continued to merge and turn into new styles, and song structures changed, often moving away from the conventional verse-chorus format. The 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1990s</w:t>
            </w:r>
            <w:r w:rsidRPr="0D7D46CB" w:rsidR="725FBCA8"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w</w:t>
            </w:r>
            <w:r w:rsidRPr="0D7D46CB" w:rsidR="725FBCA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itnessed continual reliance on technology, though some bands chose to take a step </w:t>
            </w:r>
            <w:r w:rsidRPr="0D7D46CB" w:rsidR="725FBCA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backwards.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811F13" w:rsidR="0061391B" w:rsidP="40DD8824" w:rsidRDefault="0061391B" w14:paraId="6F43D00D" w14:textId="3BE82BBE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40DD8824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Key Words</w:t>
            </w:r>
            <w:r w:rsidRPr="40DD8824" w:rsidR="00811F13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Pr="00811F13" w:rsidR="0061391B" w:rsidP="40DD8824" w:rsidRDefault="0061391B" w14:paraId="7D3A8857" w14:textId="59A59C73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</w:p>
          <w:p w:rsidRPr="00811F13" w:rsidR="0061391B" w:rsidP="40DD8824" w:rsidRDefault="0061391B" w14:paraId="771190C0" w14:textId="22130520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Structure;</w:t>
            </w:r>
          </w:p>
          <w:p w:rsidRPr="00811F13" w:rsidR="0061391B" w:rsidP="40DD8824" w:rsidRDefault="0061391B" w14:paraId="68FDEC88" w14:textId="313B07C7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0632C4F4" w14:textId="684FCA3E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Tonality;</w:t>
            </w:r>
          </w:p>
          <w:p w:rsidRPr="00811F13" w:rsidR="0061391B" w:rsidP="40DD8824" w:rsidRDefault="0061391B" w14:paraId="360516AE" w14:textId="55B728A7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5BB56207" w14:textId="54B7B5FB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T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exture;</w:t>
            </w:r>
          </w:p>
          <w:p w:rsidRPr="00811F13" w:rsidR="0061391B" w:rsidP="40DD8824" w:rsidRDefault="0061391B" w14:paraId="526CC618" w14:textId="52007F19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78C2511C" w14:textId="5662EA71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Instruments and sonority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 xml:space="preserve"> (including important/iconic instruments from the world of pop and rock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);</w:t>
            </w:r>
          </w:p>
          <w:p w:rsidRPr="00811F13" w:rsidR="0061391B" w:rsidP="40DD8824" w:rsidRDefault="0061391B" w14:paraId="5F19D0B6" w14:textId="6F095487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67736F6F" w14:textId="103F8F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Melody and harmonic language;</w:t>
            </w:r>
          </w:p>
          <w:p w:rsidRPr="00811F13" w:rsidR="0061391B" w:rsidP="40DD8824" w:rsidRDefault="0061391B" w14:paraId="6CFA8504" w14:textId="02EA28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5D85A6E2" w14:textId="1195E6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Tempo, metre and rhythm;</w:t>
            </w:r>
          </w:p>
          <w:p w:rsidRPr="00811F13" w:rsidR="0061391B" w:rsidP="40DD8824" w:rsidRDefault="0061391B" w14:paraId="53997266" w14:textId="594586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710FBF6C" w14:textId="7F08EEC2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Dynamics and other means of impacting the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 xml:space="preserve"> 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 xml:space="preserve">relationship between lyrics and music </w:t>
            </w:r>
          </w:p>
          <w:p w:rsidRPr="00811F13" w:rsidR="0061391B" w:rsidP="40DD8824" w:rsidRDefault="0061391B" w14:paraId="6321C2B7" w14:textId="100BD2AA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0572B3F4" w14:textId="2DC88A5C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The use of electronics, recording processes and music technology;</w:t>
            </w:r>
          </w:p>
          <w:p w:rsidRPr="00811F13" w:rsidR="0061391B" w:rsidP="40DD8824" w:rsidRDefault="0061391B" w14:paraId="148DFE52" w14:textId="0EFF74DF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2E458C3C" w14:textId="3C33B3E1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important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 xml:space="preserve"> artists/bands in the development genres; </w:t>
            </w:r>
          </w:p>
          <w:p w:rsidRPr="00811F13" w:rsidR="0061391B" w:rsidP="40DD8824" w:rsidRDefault="0061391B" w14:paraId="0F66FAA4" w14:textId="651A0020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781E0A66" w14:textId="5DA9C810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 xml:space="preserve">The relationship with the </w:t>
            </w: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audience.</w:t>
            </w:r>
          </w:p>
          <w:p w:rsidRPr="00811F13" w:rsidR="0061391B" w:rsidP="40DD8824" w:rsidRDefault="0061391B" w14:paraId="174507B7" w14:textId="2C9AF6DE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</w:p>
          <w:p w:rsidRPr="00811F13" w:rsidR="0061391B" w:rsidP="40DD8824" w:rsidRDefault="0061391B" w14:paraId="17D0138A" w14:textId="1DCF9399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40DD8824" w:rsidR="725FBCA8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how rock and pop has changed over time.</w:t>
            </w:r>
          </w:p>
          <w:p w:rsidRPr="00811F13" w:rsidR="0061391B" w:rsidP="40DD8824" w:rsidRDefault="0061391B" w14:paraId="49147324" w14:textId="5331D90D">
            <w:pPr>
              <w:pStyle w:val="Normal"/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Pr="00F9765D" w:rsidR="008E39B4" w:rsidTr="0D7D46CB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4C3EB8" w:rsidR="004C3EB8" w:rsidP="725FBCA8" w:rsidRDefault="004C3EB8" w14:paraId="04FAEA8E" w14:textId="266A24D0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725FBCA8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learn?</w:t>
            </w:r>
            <w:r w:rsidRPr="725FBCA8" w:rsidR="00CE6B33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Pr="004C3EB8" w:rsidR="004C3EB8" w:rsidP="725FBCA8" w:rsidRDefault="004C3EB8" w14:paraId="4AED13B2" w14:textId="0FA454E5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4C3EB8" w:rsidR="004C3EB8" w:rsidP="725FBCA8" w:rsidRDefault="004C3EB8" w14:paraId="0C4155E3" w14:textId="2D7E79E3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 xml:space="preserve">Area of study B: Pop and Rock, 1960-2000You will be studying five rock and pop genres between 1960 and </w:t>
            </w: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>2000:</w:t>
            </w:r>
          </w:p>
          <w:p w:rsidRPr="004C3EB8" w:rsidR="004C3EB8" w:rsidP="725FBCA8" w:rsidRDefault="004C3EB8" w14:paraId="2AF83E3C" w14:textId="31CD5D99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 xml:space="preserve">Pop     </w:t>
            </w:r>
          </w:p>
          <w:p w:rsidRPr="004C3EB8" w:rsidR="004C3EB8" w:rsidP="725FBCA8" w:rsidRDefault="004C3EB8" w14:paraId="0C807A66" w14:textId="385C7938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 xml:space="preserve">Rock (including progressive rock, heavy metal, folk-rock and punk </w:t>
            </w: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>rock)</w:t>
            </w:r>
          </w:p>
          <w:p w:rsidRPr="004C3EB8" w:rsidR="004C3EB8" w:rsidP="0DDB5621" w:rsidRDefault="004C3EB8" w14:paraId="51F29BE5" w14:textId="0775F22D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0DDB5621" w:rsidR="725FBCA8">
              <w:rPr>
                <w:rFonts w:cs="Calibri" w:cstheme="minorAscii"/>
                <w:color w:val="000000" w:themeColor="text1" w:themeTint="FF" w:themeShade="FF"/>
              </w:rPr>
              <w:t>Soul</w:t>
            </w:r>
          </w:p>
          <w:p w:rsidRPr="004C3EB8" w:rsidR="004C3EB8" w:rsidP="725FBCA8" w:rsidRDefault="004C3EB8" w14:paraId="22C73ED3" w14:textId="4002E2BC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0DDB5621" w:rsidR="725FBCA8">
              <w:rPr>
                <w:rFonts w:cs="Calibri" w:cstheme="minorAscii"/>
                <w:color w:val="000000" w:themeColor="text1" w:themeTint="FF" w:themeShade="FF"/>
              </w:rPr>
              <w:t>Funk (and disco)</w:t>
            </w:r>
          </w:p>
          <w:p w:rsidRPr="004C3EB8" w:rsidR="004C3EB8" w:rsidP="725FBCA8" w:rsidRDefault="004C3EB8" w14:paraId="704CD9BE" w14:textId="0E19123C">
            <w:pPr>
              <w:pStyle w:val="Normal"/>
              <w:rPr>
                <w:rFonts w:cs="Calibri" w:cstheme="minorAscii"/>
                <w:color w:val="000000" w:themeColor="text1"/>
              </w:rPr>
            </w:pP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>Folk (and country).</w:t>
            </w:r>
          </w:p>
        </w:tc>
        <w:tc>
          <w:tcPr>
            <w:tcW w:w="2268" w:type="dxa"/>
            <w:vMerge/>
            <w:tcMar/>
          </w:tcPr>
          <w:p w:rsidRPr="00F9765D" w:rsidR="008E39B4" w:rsidP="0010644B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D7D46CB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10644B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725FBCA8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811F13" w:rsidR="00CE71B5" w:rsidP="725FBCA8" w:rsidRDefault="00CE71B5" w14:noSpellErr="1" w14:paraId="34E15A4D" w14:textId="32DB8BCF">
            <w:pPr>
              <w:rPr>
                <w:rFonts w:cs="Calibri" w:cstheme="minorAscii"/>
                <w:color w:val="000000" w:themeColor="text1" w:themeTint="FF" w:themeShade="FF"/>
              </w:rPr>
            </w:pPr>
          </w:p>
          <w:p w:rsidRPr="00811F13" w:rsidR="00CE71B5" w:rsidP="725FBCA8" w:rsidRDefault="00CE71B5" w14:paraId="3F952DC2" w14:textId="2F0579A3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0DDB5621" w:rsidR="725FBCA8">
              <w:rPr>
                <w:rFonts w:cs="Calibri" w:cstheme="minorAscii"/>
                <w:color w:val="000000" w:themeColor="text1" w:themeTint="FF" w:themeShade="FF"/>
              </w:rPr>
              <w:t>In year 13 you will deepen your understanding of these 5 genres of music by designing individual projects to explore individual songs in each style;</w:t>
            </w:r>
          </w:p>
          <w:p w:rsidR="0DDB5621" w:rsidP="0DDB5621" w:rsidRDefault="0DDB5621" w14:paraId="61C46893" w14:textId="3A8E9AEA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="0DDB5621" w:rsidP="0DDB5621" w:rsidRDefault="0DDB5621" w14:paraId="25D4163D" w14:textId="0866C8A7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0DDB5621" w:rsidR="0DDB5621">
              <w:rPr>
                <w:rFonts w:cs="Calibri" w:cstheme="minorAscii"/>
                <w:color w:val="000000" w:themeColor="text1" w:themeTint="FF" w:themeShade="FF"/>
              </w:rPr>
              <w:t>You can develop your understanding of these genres by composing (and performing) your own examples of these musics;</w:t>
            </w:r>
          </w:p>
          <w:p w:rsidR="0DDB5621" w:rsidP="0DDB5621" w:rsidRDefault="0DDB5621" w14:paraId="7E2C334A" w14:textId="756A1A5B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811F13" w:rsidR="00CE71B5" w:rsidP="725FBCA8" w:rsidRDefault="00CE71B5" w14:paraId="2BD8A34E" w14:textId="3BDDD812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>You will be encouraged to take opportunities to perform music of these genres in Live Lounge and other events at school;</w:t>
            </w:r>
          </w:p>
          <w:p w:rsidRPr="00811F13" w:rsidR="00CE71B5" w:rsidP="725FBCA8" w:rsidRDefault="00CE71B5" w14:paraId="0612D505" w14:textId="3C8AA089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811F13" w:rsidR="00CE71B5" w:rsidP="725FBCA8" w:rsidRDefault="00CE71B5" w14:paraId="001E2D6F" w14:textId="7E057C35">
            <w:pPr>
              <w:pStyle w:val="Normal"/>
              <w:rPr>
                <w:rFonts w:cs="Calibri" w:cstheme="minorAscii"/>
                <w:color w:val="000000" w:themeColor="text1"/>
              </w:rPr>
            </w:pPr>
            <w:r w:rsidRPr="725FBCA8" w:rsidR="725FBCA8">
              <w:rPr>
                <w:rFonts w:cs="Calibri" w:cstheme="minorAscii"/>
                <w:color w:val="000000" w:themeColor="text1" w:themeTint="FF" w:themeShade="FF"/>
              </w:rPr>
              <w:t>You will be directed to a variety of live, recorded, and online resources to deepen your understanding of this music.</w:t>
            </w:r>
          </w:p>
        </w:tc>
        <w:tc>
          <w:tcPr>
            <w:tcW w:w="2268" w:type="dxa"/>
            <w:vMerge/>
            <w:tcMar/>
          </w:tcPr>
          <w:p w:rsidRPr="00F9765D" w:rsidR="008E39B4" w:rsidP="0010644B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D7D46CB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E5371A" w:rsidR="008E39B4" w:rsidP="0010644B" w:rsidRDefault="008E39B4" w14:paraId="5A47D04C" w14:textId="7777777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:rsidRPr="0010644B" w:rsidR="0010644B" w:rsidP="40DD8824" w:rsidRDefault="004C3EB8" w14:paraId="49A399AA" w14:textId="2ECCA9E1">
            <w:pPr>
              <w:rPr>
                <w:i w:val="1"/>
                <w:iCs w:val="1"/>
              </w:rPr>
            </w:pPr>
            <w:r w:rsidR="004C3EB8">
              <w:rPr/>
              <w:t xml:space="preserve">There will be a written examination at the end of the qualification that will assess your listening skills, your familiarity with musical devices used in the repertoire, </w:t>
            </w:r>
            <w:r w:rsidR="001B185F">
              <w:rPr/>
              <w:t xml:space="preserve">and </w:t>
            </w:r>
            <w:r w:rsidR="004C3EB8">
              <w:rPr/>
              <w:t>your</w:t>
            </w:r>
            <w:r w:rsidR="004C3EB8">
              <w:rPr/>
              <w:t xml:space="preserve"> </w:t>
            </w:r>
            <w:r w:rsidR="001B185F">
              <w:rPr/>
              <w:t>detailed</w:t>
            </w:r>
            <w:r w:rsidR="004C3EB8">
              <w:rPr/>
              <w:t xml:space="preserve"> knowledge of each genre, being able to discuss individual examples.</w:t>
            </w:r>
          </w:p>
          <w:p w:rsidR="725FBCA8" w:rsidP="725FBCA8" w:rsidRDefault="725FBCA8" w14:paraId="21AD211E" w14:textId="4CC348F4">
            <w:pPr>
              <w:pStyle w:val="Normal"/>
            </w:pPr>
          </w:p>
          <w:p w:rsidRPr="0010644B" w:rsidR="0010644B" w:rsidP="725FBCA8" w:rsidRDefault="0010644B" w14:paraId="68CCE71F" w14:textId="651BB218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725FBCA8" w:rsidR="0010644B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You </w:t>
            </w:r>
            <w:r w:rsidRPr="725FBCA8" w:rsidR="0010644B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will have formal practice assessments for this Area of Study in February and June in year 12; and in December and February in year 13</w:t>
            </w:r>
            <w:r w:rsidRPr="725FBCA8" w:rsidR="0010644B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725FBCA8" w:rsidR="0010644B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ahead of the final exam in June. </w:t>
            </w:r>
          </w:p>
          <w:p w:rsidRPr="00811F13" w:rsidR="00811F13" w:rsidP="0010644B" w:rsidRDefault="00811F13" w14:paraId="7C953E82" w14:textId="48EA00C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10644B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10644B" w:rsidRDefault="001634E8" w14:paraId="42B3A29B" w14:textId="49864984"/>
    <w:p w:rsidR="0010644B" w:rsidRDefault="0010644B" w14:paraId="7A0627BB" w14:textId="77777777"/>
    <w:sectPr w:rsidR="0010644B" w:rsidSect="00A23F48">
      <w:head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4E8" w:rsidP="00017B74" w:rsidRDefault="001634E8" w14:paraId="2057C5E4" w14:textId="77777777">
      <w:pPr>
        <w:spacing w:after="0" w:line="240" w:lineRule="auto"/>
      </w:pPr>
      <w:r>
        <w:separator/>
      </w:r>
    </w:p>
  </w:endnote>
  <w:endnote w:type="continuationSeparator" w:id="0">
    <w:p w:rsidR="001634E8" w:rsidP="00017B74" w:rsidRDefault="001634E8" w14:paraId="219DD9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4E8" w:rsidP="00017B74" w:rsidRDefault="001634E8" w14:paraId="67B7B149" w14:textId="77777777">
      <w:pPr>
        <w:spacing w:after="0" w:line="240" w:lineRule="auto"/>
      </w:pPr>
      <w:r>
        <w:separator/>
      </w:r>
    </w:p>
  </w:footnote>
  <w:footnote w:type="continuationSeparator" w:id="0">
    <w:p w:rsidR="001634E8" w:rsidP="00017B74" w:rsidRDefault="001634E8" w14:paraId="17D2A8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662F7750"/>
    <w:multiLevelType w:val="multilevel"/>
    <w:tmpl w:val="18B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6527"/>
    <w:rsid w:val="00017B74"/>
    <w:rsid w:val="00066503"/>
    <w:rsid w:val="0007415F"/>
    <w:rsid w:val="0010644B"/>
    <w:rsid w:val="001634E8"/>
    <w:rsid w:val="001B185F"/>
    <w:rsid w:val="00200DD6"/>
    <w:rsid w:val="002B25FB"/>
    <w:rsid w:val="002B6733"/>
    <w:rsid w:val="00362C0B"/>
    <w:rsid w:val="003E040F"/>
    <w:rsid w:val="003E6B6F"/>
    <w:rsid w:val="00440E6C"/>
    <w:rsid w:val="00487E07"/>
    <w:rsid w:val="004A45C2"/>
    <w:rsid w:val="004C3EB8"/>
    <w:rsid w:val="005A4B4B"/>
    <w:rsid w:val="005F4E99"/>
    <w:rsid w:val="0061391B"/>
    <w:rsid w:val="006A3C2A"/>
    <w:rsid w:val="007146EF"/>
    <w:rsid w:val="007F18AD"/>
    <w:rsid w:val="00811F13"/>
    <w:rsid w:val="008301AF"/>
    <w:rsid w:val="0084115B"/>
    <w:rsid w:val="00847F4E"/>
    <w:rsid w:val="00867D25"/>
    <w:rsid w:val="008A4730"/>
    <w:rsid w:val="008B1952"/>
    <w:rsid w:val="008E39B4"/>
    <w:rsid w:val="00900A1C"/>
    <w:rsid w:val="00A23F48"/>
    <w:rsid w:val="00A314F1"/>
    <w:rsid w:val="00BA646E"/>
    <w:rsid w:val="00C31D08"/>
    <w:rsid w:val="00CA59AB"/>
    <w:rsid w:val="00CD298D"/>
    <w:rsid w:val="00CE6B33"/>
    <w:rsid w:val="00CE71B5"/>
    <w:rsid w:val="00DB0006"/>
    <w:rsid w:val="00DC23A5"/>
    <w:rsid w:val="00E146C5"/>
    <w:rsid w:val="00E5371A"/>
    <w:rsid w:val="00ED13C5"/>
    <w:rsid w:val="00EE6BDD"/>
    <w:rsid w:val="00F43D58"/>
    <w:rsid w:val="00F9765D"/>
    <w:rsid w:val="00FB7D5A"/>
    <w:rsid w:val="00FE1C68"/>
    <w:rsid w:val="03DBA26F"/>
    <w:rsid w:val="05B4AF0A"/>
    <w:rsid w:val="0644968D"/>
    <w:rsid w:val="06881BCB"/>
    <w:rsid w:val="07507F6B"/>
    <w:rsid w:val="0D7D46CB"/>
    <w:rsid w:val="0DDB5621"/>
    <w:rsid w:val="0FD25076"/>
    <w:rsid w:val="10121809"/>
    <w:rsid w:val="13DFF942"/>
    <w:rsid w:val="15756B57"/>
    <w:rsid w:val="190A611C"/>
    <w:rsid w:val="1A48DC7A"/>
    <w:rsid w:val="204F77D9"/>
    <w:rsid w:val="218C3227"/>
    <w:rsid w:val="2B399ADA"/>
    <w:rsid w:val="2E915465"/>
    <w:rsid w:val="2F5E3561"/>
    <w:rsid w:val="30FA05C2"/>
    <w:rsid w:val="325F359E"/>
    <w:rsid w:val="3364C588"/>
    <w:rsid w:val="350095E9"/>
    <w:rsid w:val="37A7BD08"/>
    <w:rsid w:val="3B3441C8"/>
    <w:rsid w:val="3C0C2F12"/>
    <w:rsid w:val="3C23D2CD"/>
    <w:rsid w:val="3CF37C8B"/>
    <w:rsid w:val="3CF37C8B"/>
    <w:rsid w:val="3DC6299B"/>
    <w:rsid w:val="40DD8824"/>
    <w:rsid w:val="4854B369"/>
    <w:rsid w:val="5A13E757"/>
    <w:rsid w:val="5F7D06B9"/>
    <w:rsid w:val="62B4A77B"/>
    <w:rsid w:val="66258963"/>
    <w:rsid w:val="6A54AAC3"/>
    <w:rsid w:val="6ABFB960"/>
    <w:rsid w:val="725FBCA8"/>
    <w:rsid w:val="73BE8E38"/>
    <w:rsid w:val="76F62EFA"/>
    <w:rsid w:val="7C6072B4"/>
    <w:rsid w:val="7D6C60EA"/>
    <w:rsid w:val="7D858947"/>
    <w:rsid w:val="7E72C075"/>
    <w:rsid w:val="7F0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rmalWeb">
    <w:name w:val="Normal (Web)"/>
    <w:basedOn w:val="Normal"/>
    <w:uiPriority w:val="99"/>
    <w:semiHidden/>
    <w:unhideWhenUsed/>
    <w:rsid w:val="00362C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  <MediaLengthInSeconds xmlns="231fda97-f46f-4a86-bd9b-809e86dd0d65" xsi:nil="true"/>
    <SharedWithUsers xmlns="069cf267-c0bd-49c7-8dea-4928a3e490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6ED224-96BD-43A0-AA94-CF8A11CCA9AD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RBannister</lastModifiedBy>
  <revision>6</revision>
  <dcterms:created xsi:type="dcterms:W3CDTF">2022-05-25T09:40:00.0000000Z</dcterms:created>
  <dcterms:modified xsi:type="dcterms:W3CDTF">2022-06-27T12:45:45.8575834Z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